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E353E" w14:textId="77777777" w:rsidR="00C27B23" w:rsidRPr="0041405A" w:rsidRDefault="0048249A">
      <w:pPr>
        <w:pStyle w:val="Titolo"/>
        <w:pageBreakBefore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Scheda di sintesi sulla rilevazione degli OIV o </w:t>
      </w:r>
      <w:r w:rsidR="009A5646" w:rsidRPr="0041405A">
        <w:rPr>
          <w:rFonts w:ascii="Titillium" w:hAnsi="Titillium"/>
          <w:sz w:val="20"/>
          <w:szCs w:val="20"/>
        </w:rPr>
        <w:t>organismi con funzioni analoghe</w:t>
      </w:r>
    </w:p>
    <w:p w14:paraId="266D6E22" w14:textId="77777777" w:rsidR="00C27B23" w:rsidRPr="0041405A" w:rsidRDefault="00C27B23">
      <w:pPr>
        <w:pStyle w:val="Paragrafoelenco"/>
        <w:ind w:left="0" w:firstLine="0"/>
        <w:rPr>
          <w:rFonts w:ascii="Titillium" w:hAnsi="Titillium"/>
          <w:sz w:val="20"/>
          <w:szCs w:val="20"/>
        </w:rPr>
      </w:pPr>
    </w:p>
    <w:p w14:paraId="4F26C353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Data di svolgimento della rilevazione</w:t>
      </w:r>
    </w:p>
    <w:p w14:paraId="77088623" w14:textId="3310C183" w:rsidR="00C27B23" w:rsidRPr="0041405A" w:rsidRDefault="004D0235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  <w:u w:val="single"/>
        </w:rPr>
      </w:pPr>
      <w:r>
        <w:rPr>
          <w:rFonts w:ascii="Titillium" w:hAnsi="Titillium"/>
          <w:sz w:val="20"/>
          <w:szCs w:val="20"/>
        </w:rPr>
        <w:t xml:space="preserve">La rilevazione è avvenuta : </w:t>
      </w:r>
      <w:r w:rsidR="0089749F">
        <w:rPr>
          <w:rFonts w:ascii="Titillium" w:hAnsi="Titillium"/>
          <w:sz w:val="20"/>
          <w:szCs w:val="20"/>
        </w:rPr>
        <w:t>al 31/05/2021</w:t>
      </w:r>
    </w:p>
    <w:p w14:paraId="1D0EE8CC" w14:textId="77777777" w:rsidR="00C27B23" w:rsidRPr="0041405A" w:rsidRDefault="00C27B23">
      <w:pPr>
        <w:pStyle w:val="Paragrafoelenco"/>
        <w:spacing w:line="276" w:lineRule="auto"/>
        <w:ind w:left="0" w:firstLine="0"/>
        <w:rPr>
          <w:rFonts w:ascii="Titillium" w:hAnsi="Titillium"/>
          <w:sz w:val="20"/>
          <w:szCs w:val="20"/>
        </w:rPr>
      </w:pPr>
    </w:p>
    <w:p w14:paraId="6005AC27" w14:textId="77777777" w:rsidR="00C27B23" w:rsidRPr="0041405A" w:rsidRDefault="0048249A">
      <w:pPr>
        <w:pStyle w:val="Paragrafoelenco"/>
        <w:spacing w:after="0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Estensione della rilevazione (nel </w:t>
      </w:r>
      <w:r w:rsidR="00FC7906" w:rsidRPr="0041405A">
        <w:rPr>
          <w:rFonts w:ascii="Titillium" w:hAnsi="Titillium"/>
          <w:b/>
          <w:i/>
          <w:sz w:val="20"/>
          <w:szCs w:val="20"/>
        </w:rPr>
        <w:t xml:space="preserve">solo </w:t>
      </w:r>
      <w:r w:rsidRPr="0041405A">
        <w:rPr>
          <w:rFonts w:ascii="Titillium" w:hAnsi="Titillium"/>
          <w:b/>
          <w:i/>
          <w:sz w:val="20"/>
          <w:szCs w:val="20"/>
        </w:rPr>
        <w:t>caso di ammin</w:t>
      </w:r>
      <w:r w:rsidR="007A107C" w:rsidRPr="0041405A">
        <w:rPr>
          <w:rFonts w:ascii="Titillium" w:hAnsi="Titillium"/>
          <w:b/>
          <w:i/>
          <w:sz w:val="20"/>
          <w:szCs w:val="20"/>
        </w:rPr>
        <w:t>istrazioni</w:t>
      </w:r>
      <w:r w:rsidR="00FC7906" w:rsidRPr="0041405A">
        <w:rPr>
          <w:rFonts w:ascii="Titillium" w:hAnsi="Titillium"/>
          <w:b/>
          <w:i/>
          <w:sz w:val="20"/>
          <w:szCs w:val="20"/>
        </w:rPr>
        <w:t>/enti</w:t>
      </w:r>
      <w:r w:rsidR="007A107C" w:rsidRPr="0041405A">
        <w:rPr>
          <w:rFonts w:ascii="Titillium" w:hAnsi="Titillium"/>
          <w:b/>
          <w:i/>
          <w:sz w:val="20"/>
          <w:szCs w:val="20"/>
        </w:rPr>
        <w:t xml:space="preserve"> con uffici periferici)</w:t>
      </w:r>
    </w:p>
    <w:p w14:paraId="54AA5066" w14:textId="77777777" w:rsidR="00C27B23" w:rsidRPr="0041405A" w:rsidRDefault="00C27B23">
      <w:pPr>
        <w:pStyle w:val="Paragrafoelenco"/>
        <w:spacing w:after="0"/>
        <w:ind w:left="0" w:firstLine="0"/>
        <w:rPr>
          <w:rFonts w:ascii="Titillium" w:hAnsi="Titillium"/>
          <w:b/>
          <w:sz w:val="20"/>
          <w:szCs w:val="20"/>
          <w:u w:val="single"/>
        </w:rPr>
      </w:pPr>
    </w:p>
    <w:p w14:paraId="24DB390A" w14:textId="133059F5" w:rsidR="00C27B23" w:rsidRDefault="0048249A" w:rsidP="007A107C">
      <w:pPr>
        <w:pStyle w:val="Paragrafoelenco"/>
        <w:spacing w:after="0" w:line="360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Indicare il numero complessivo degli uffici periferici esistenti</w:t>
      </w:r>
      <w:r w:rsidR="00713BFD" w:rsidRPr="0041405A">
        <w:rPr>
          <w:rFonts w:ascii="Titillium" w:hAnsi="Titillium"/>
          <w:sz w:val="20"/>
          <w:szCs w:val="20"/>
        </w:rPr>
        <w:t xml:space="preserve"> e, se diverse, le tipologie di uffici periferici</w:t>
      </w:r>
      <w:r w:rsidRPr="0041405A">
        <w:rPr>
          <w:rFonts w:ascii="Titillium" w:hAnsi="Titillium"/>
          <w:sz w:val="20"/>
          <w:szCs w:val="20"/>
        </w:rPr>
        <w:t>.</w:t>
      </w:r>
    </w:p>
    <w:p w14:paraId="40F7D895" w14:textId="694B3EFF" w:rsidR="004D0235" w:rsidRPr="004D0235" w:rsidRDefault="004D0235" w:rsidP="007A107C">
      <w:pPr>
        <w:pStyle w:val="Paragrafoelenco"/>
        <w:spacing w:after="0" w:line="360" w:lineRule="auto"/>
        <w:ind w:left="0" w:firstLine="0"/>
        <w:rPr>
          <w:rFonts w:ascii="Titillium" w:hAnsi="Titillium"/>
          <w:i/>
          <w:iCs/>
          <w:sz w:val="20"/>
          <w:szCs w:val="20"/>
        </w:rPr>
      </w:pPr>
      <w:r w:rsidRPr="004D0235">
        <w:rPr>
          <w:rFonts w:ascii="Titillium" w:hAnsi="Titillium"/>
          <w:i/>
          <w:iCs/>
          <w:sz w:val="20"/>
          <w:szCs w:val="20"/>
        </w:rPr>
        <w:t>Il Consiglio Notarile di Modena non ha uffici periferici</w:t>
      </w:r>
    </w:p>
    <w:p w14:paraId="09280243" w14:textId="77777777" w:rsidR="00C27B23" w:rsidRPr="0041405A" w:rsidRDefault="0048249A" w:rsidP="00713BFD">
      <w:pPr>
        <w:pStyle w:val="Paragrafoelenco"/>
        <w:spacing w:after="0" w:line="360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Per la formazione del campione di uffici periferici su cui effettuare la rilevazione, indicare</w:t>
      </w:r>
      <w:r w:rsidR="00713BFD" w:rsidRPr="0041405A">
        <w:rPr>
          <w:rFonts w:ascii="Titillium" w:hAnsi="Titillium"/>
          <w:sz w:val="20"/>
          <w:szCs w:val="20"/>
        </w:rPr>
        <w:t xml:space="preserve"> </w:t>
      </w:r>
      <w:r w:rsidRPr="0041405A">
        <w:rPr>
          <w:rFonts w:ascii="Titillium" w:hAnsi="Titillium"/>
          <w:sz w:val="20"/>
          <w:szCs w:val="20"/>
        </w:rPr>
        <w:t>il criterio di selezione del campione</w:t>
      </w:r>
      <w:r w:rsidR="00713BFD" w:rsidRPr="0041405A">
        <w:rPr>
          <w:rFonts w:ascii="Titillium" w:hAnsi="Titillium"/>
          <w:sz w:val="20"/>
          <w:szCs w:val="20"/>
        </w:rPr>
        <w:t>.</w:t>
      </w:r>
    </w:p>
    <w:p w14:paraId="488DC5C8" w14:textId="77777777" w:rsidR="004D0235" w:rsidRPr="004D0235" w:rsidRDefault="004D0235" w:rsidP="004D0235">
      <w:pPr>
        <w:pStyle w:val="Paragrafoelenco"/>
        <w:spacing w:after="0" w:line="360" w:lineRule="auto"/>
        <w:ind w:left="0" w:firstLine="0"/>
        <w:rPr>
          <w:rFonts w:ascii="Titillium" w:hAnsi="Titillium"/>
          <w:i/>
          <w:iCs/>
          <w:sz w:val="20"/>
          <w:szCs w:val="20"/>
        </w:rPr>
      </w:pPr>
      <w:r w:rsidRPr="004D0235">
        <w:rPr>
          <w:rFonts w:ascii="Titillium" w:hAnsi="Titillium"/>
          <w:i/>
          <w:iCs/>
          <w:sz w:val="20"/>
          <w:szCs w:val="20"/>
        </w:rPr>
        <w:t>Il Consiglio Notarile di Modena non ha uffici periferici</w:t>
      </w:r>
    </w:p>
    <w:p w14:paraId="0B68D2B4" w14:textId="77777777" w:rsidR="00C27B23" w:rsidRPr="0041405A" w:rsidRDefault="00C27B23">
      <w:pPr>
        <w:pStyle w:val="Paragrafoelenco"/>
        <w:spacing w:after="0" w:line="276" w:lineRule="auto"/>
        <w:ind w:left="720" w:firstLine="0"/>
        <w:rPr>
          <w:rFonts w:ascii="Titillium" w:hAnsi="Titillium"/>
          <w:sz w:val="20"/>
          <w:szCs w:val="20"/>
        </w:rPr>
      </w:pPr>
    </w:p>
    <w:p w14:paraId="4F67FAE9" w14:textId="77777777" w:rsidR="00C27B23" w:rsidRPr="0041405A" w:rsidRDefault="0048249A">
      <w:pPr>
        <w:pStyle w:val="Paragrafoelenco"/>
        <w:spacing w:line="360" w:lineRule="auto"/>
        <w:ind w:left="0" w:firstLine="0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 xml:space="preserve">Procedure e modalità seguite per la rilevazione </w:t>
      </w:r>
    </w:p>
    <w:p w14:paraId="6311AD56" w14:textId="77777777" w:rsidR="00C27B23" w:rsidRPr="0041405A" w:rsidRDefault="0048249A" w:rsidP="007A107C">
      <w:pPr>
        <w:pStyle w:val="Paragrafoelenco"/>
        <w:spacing w:after="0" w:line="360" w:lineRule="auto"/>
        <w:ind w:left="0" w:firstLine="0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Indicare il procedimento e le modalità seguite per condurre la rilevazione.</w:t>
      </w:r>
    </w:p>
    <w:p w14:paraId="38339D46" w14:textId="77777777" w:rsidR="00C27B23" w:rsidRPr="0041405A" w:rsidRDefault="0048249A" w:rsidP="007A107C">
      <w:pPr>
        <w:pStyle w:val="Default"/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A titolo esemplificativo e non esaustivo, si indicano alcune modalità, non alternative fra loro, che potrebbero essere seguite:</w:t>
      </w:r>
    </w:p>
    <w:p w14:paraId="2F2568E3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verifica dell’attività svolta dal Responsabile della</w:t>
      </w:r>
      <w:r w:rsidR="007A107C" w:rsidRPr="0041405A">
        <w:rPr>
          <w:rFonts w:ascii="Titillium" w:hAnsi="Titillium"/>
          <w:sz w:val="20"/>
          <w:szCs w:val="20"/>
        </w:rPr>
        <w:t xml:space="preserve"> preve</w:t>
      </w:r>
      <w:r w:rsidR="00713BFD" w:rsidRPr="0041405A">
        <w:rPr>
          <w:rFonts w:ascii="Titillium" w:hAnsi="Titillium"/>
          <w:sz w:val="20"/>
          <w:szCs w:val="20"/>
        </w:rPr>
        <w:t>nzione della corruzione e della</w:t>
      </w:r>
      <w:r w:rsidRPr="0041405A">
        <w:rPr>
          <w:rFonts w:ascii="Titillium" w:hAnsi="Titillium"/>
          <w:sz w:val="20"/>
          <w:szCs w:val="20"/>
        </w:rPr>
        <w:t xml:space="preserve"> trasparenza per riscontrare l’adempimento degli obblighi di pubblicazione;</w:t>
      </w:r>
    </w:p>
    <w:p w14:paraId="285CA57A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>colloqui con i responsabili della trasmissione dei dati;</w:t>
      </w:r>
    </w:p>
    <w:p w14:paraId="44F46977" w14:textId="77777777" w:rsidR="00C27B23" w:rsidRPr="0041405A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Titillium" w:hAnsi="Titillium"/>
          <w:sz w:val="20"/>
          <w:szCs w:val="20"/>
        </w:rPr>
      </w:pPr>
      <w:r w:rsidRPr="0041405A">
        <w:rPr>
          <w:rFonts w:ascii="Titillium" w:hAnsi="Titillium"/>
          <w:sz w:val="20"/>
          <w:szCs w:val="20"/>
        </w:rPr>
        <w:t xml:space="preserve">verifica </w:t>
      </w:r>
      <w:r w:rsidR="00713BFD" w:rsidRPr="0041405A">
        <w:rPr>
          <w:rFonts w:ascii="Titillium" w:hAnsi="Titillium"/>
          <w:sz w:val="20"/>
          <w:szCs w:val="20"/>
        </w:rPr>
        <w:t xml:space="preserve">diretta </w:t>
      </w:r>
      <w:r w:rsidRPr="0041405A">
        <w:rPr>
          <w:rFonts w:ascii="Titillium" w:hAnsi="Titillium"/>
          <w:sz w:val="20"/>
          <w:szCs w:val="20"/>
        </w:rPr>
        <w:t>sul sito istituzionale, anche attraverso l’utilizzo di supporti informatici</w:t>
      </w:r>
      <w:r w:rsidR="008A0378" w:rsidRPr="0041405A">
        <w:rPr>
          <w:rFonts w:ascii="Titillium" w:hAnsi="Titillium"/>
          <w:sz w:val="20"/>
          <w:szCs w:val="20"/>
        </w:rPr>
        <w:t>.</w:t>
      </w:r>
    </w:p>
    <w:p w14:paraId="6F7ECF1F" w14:textId="77777777" w:rsidR="00C27B23" w:rsidRPr="0041405A" w:rsidRDefault="00C27B23">
      <w:pPr>
        <w:spacing w:line="360" w:lineRule="auto"/>
        <w:rPr>
          <w:rFonts w:ascii="Titillium" w:hAnsi="Titillium"/>
          <w:sz w:val="20"/>
          <w:szCs w:val="20"/>
          <w:u w:val="single"/>
        </w:rPr>
      </w:pPr>
    </w:p>
    <w:p w14:paraId="6EDCD0BE" w14:textId="77777777" w:rsidR="00C27B23" w:rsidRPr="0041405A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Aspetti critici riscontrati nel corso della rilevazione</w:t>
      </w:r>
    </w:p>
    <w:p w14:paraId="28410C3A" w14:textId="3DBCD56F" w:rsidR="00C27B23" w:rsidRPr="004D0235" w:rsidRDefault="004D0235">
      <w:pPr>
        <w:spacing w:line="360" w:lineRule="auto"/>
        <w:rPr>
          <w:rFonts w:ascii="Titillium" w:hAnsi="Titillium"/>
          <w:b/>
          <w:i/>
          <w:iCs/>
          <w:sz w:val="20"/>
          <w:szCs w:val="20"/>
        </w:rPr>
      </w:pPr>
      <w:r w:rsidRPr="004D0235">
        <w:rPr>
          <w:rFonts w:ascii="Titillium" w:hAnsi="Titillium"/>
          <w:b/>
          <w:i/>
          <w:iCs/>
          <w:sz w:val="20"/>
          <w:szCs w:val="20"/>
        </w:rPr>
        <w:t>Nessuno</w:t>
      </w:r>
    </w:p>
    <w:p w14:paraId="627EC2A4" w14:textId="77777777" w:rsidR="008A0378" w:rsidRPr="0041405A" w:rsidRDefault="008A0378">
      <w:pPr>
        <w:spacing w:line="360" w:lineRule="auto"/>
        <w:rPr>
          <w:rFonts w:ascii="Titillium" w:hAnsi="Titillium"/>
          <w:b/>
          <w:sz w:val="20"/>
          <w:szCs w:val="20"/>
          <w:u w:val="single"/>
        </w:rPr>
      </w:pPr>
    </w:p>
    <w:p w14:paraId="33FE08E9" w14:textId="63747F54" w:rsidR="00C27B23" w:rsidRDefault="0048249A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 w:rsidRPr="0041405A">
        <w:rPr>
          <w:rFonts w:ascii="Titillium" w:hAnsi="Titillium"/>
          <w:b/>
          <w:i/>
          <w:sz w:val="20"/>
          <w:szCs w:val="20"/>
        </w:rPr>
        <w:t>Eventuale documentazione da allegare</w:t>
      </w:r>
    </w:p>
    <w:p w14:paraId="0745A8DD" w14:textId="523135CD" w:rsidR="004D0235" w:rsidRPr="0041405A" w:rsidRDefault="004D0235">
      <w:pPr>
        <w:spacing w:line="360" w:lineRule="auto"/>
        <w:rPr>
          <w:rFonts w:ascii="Titillium" w:hAnsi="Titillium"/>
          <w:b/>
          <w:i/>
          <w:sz w:val="20"/>
          <w:szCs w:val="20"/>
        </w:rPr>
      </w:pPr>
      <w:r>
        <w:rPr>
          <w:rFonts w:ascii="Titillium" w:hAnsi="Titillium"/>
          <w:b/>
          <w:i/>
          <w:sz w:val="20"/>
          <w:szCs w:val="20"/>
        </w:rPr>
        <w:t>Nessuna</w:t>
      </w:r>
    </w:p>
    <w:sectPr w:rsidR="004D0235" w:rsidRPr="004140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69A3E" w14:textId="77777777" w:rsidR="0060106A" w:rsidRDefault="0060106A">
      <w:pPr>
        <w:spacing w:after="0" w:line="240" w:lineRule="auto"/>
      </w:pPr>
      <w:r>
        <w:separator/>
      </w:r>
    </w:p>
  </w:endnote>
  <w:endnote w:type="continuationSeparator" w:id="0">
    <w:p w14:paraId="610FFEAE" w14:textId="77777777"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49CAB" w14:textId="77777777" w:rsidR="00E90CD5" w:rsidRDefault="00E90CD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99D58" w14:textId="77777777" w:rsidR="00E90CD5" w:rsidRDefault="00E90CD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E019" w14:textId="77777777" w:rsidR="00E90CD5" w:rsidRDefault="00E90CD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8ABBC" w14:textId="77777777"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14:paraId="3A5F6354" w14:textId="77777777"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7549E" w14:textId="77777777" w:rsidR="00E90CD5" w:rsidRDefault="00E90CD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34A2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  <w:r>
      <w:rPr>
        <w:noProof/>
        <w:lang w:eastAsia="it-IT"/>
      </w:rPr>
      <w:drawing>
        <wp:anchor distT="0" distB="0" distL="114300" distR="114300" simplePos="0" relativeHeight="251657728" behindDoc="0" locked="0" layoutInCell="1" allowOverlap="1" wp14:anchorId="669844EF" wp14:editId="7A99700B">
          <wp:simplePos x="0" y="0"/>
          <wp:positionH relativeFrom="margin">
            <wp:posOffset>-271780</wp:posOffset>
          </wp:positionH>
          <wp:positionV relativeFrom="topMargin">
            <wp:posOffset>453390</wp:posOffset>
          </wp:positionV>
          <wp:extent cx="2879725" cy="341630"/>
          <wp:effectExtent l="0" t="0" r="0" b="1270"/>
          <wp:wrapSquare wrapText="bothSides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341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4307D7" w14:textId="77777777" w:rsidR="0085206C" w:rsidRDefault="0085206C" w:rsidP="006E496C">
    <w:pPr>
      <w:pStyle w:val="Intestazione"/>
      <w:jc w:val="right"/>
      <w:rPr>
        <w:rFonts w:ascii="Garamond" w:hAnsi="Garamond"/>
        <w:b/>
      </w:rPr>
    </w:pPr>
  </w:p>
  <w:p w14:paraId="7690868A" w14:textId="0B261BB2" w:rsidR="0085206C" w:rsidRDefault="0085206C" w:rsidP="0085206C">
    <w:pPr>
      <w:pStyle w:val="Intestazione"/>
      <w:tabs>
        <w:tab w:val="left" w:pos="3878"/>
      </w:tabs>
      <w:rPr>
        <w:rFonts w:ascii="Garamond" w:hAnsi="Garamond"/>
        <w:b/>
      </w:rPr>
    </w:pPr>
    <w:r>
      <w:rPr>
        <w:rFonts w:ascii="Garamond" w:hAnsi="Garamond"/>
        <w:b/>
      </w:rPr>
      <w:tab/>
    </w:r>
    <w:r>
      <w:rPr>
        <w:rFonts w:ascii="Garamond" w:hAnsi="Garamond"/>
        <w:b/>
      </w:rPr>
      <w:tab/>
    </w:r>
  </w:p>
  <w:p w14:paraId="21864842" w14:textId="2DA6F272" w:rsidR="00C27B23" w:rsidRPr="000F2C0E" w:rsidRDefault="00C27B23" w:rsidP="006E496C">
    <w:pPr>
      <w:pStyle w:val="Intestazione"/>
      <w:jc w:val="right"/>
      <w:rPr>
        <w:rFonts w:ascii="Titillium" w:hAnsi="Titillium" w:cs="Times New Roman"/>
        <w:b/>
        <w:sz w:val="20"/>
        <w:szCs w:val="20"/>
      </w:rPr>
    </w:pPr>
  </w:p>
  <w:p w14:paraId="378EC3A6" w14:textId="77777777" w:rsidR="0085206C" w:rsidRDefault="0085206C" w:rsidP="006E496C">
    <w:pPr>
      <w:pStyle w:val="Intestazione"/>
      <w:jc w:val="right"/>
      <w:rPr>
        <w:rFonts w:ascii="Garamond" w:hAnsi="Garamond" w:cs="Times New Roman"/>
        <w:b/>
      </w:rPr>
    </w:pPr>
  </w:p>
  <w:p w14:paraId="7AF48F91" w14:textId="77777777" w:rsidR="0085206C" w:rsidRPr="006E496C" w:rsidRDefault="0085206C" w:rsidP="006E496C">
    <w:pPr>
      <w:pStyle w:val="Intestazione"/>
      <w:jc w:val="right"/>
      <w:rPr>
        <w:rFonts w:ascii="Garamond" w:hAnsi="Garamond" w:cs="Times New Roman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2A94C" w14:textId="77777777" w:rsidR="00E90CD5" w:rsidRDefault="00E90C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B23"/>
    <w:rsid w:val="00040F20"/>
    <w:rsid w:val="000F2C0E"/>
    <w:rsid w:val="00103809"/>
    <w:rsid w:val="0016468A"/>
    <w:rsid w:val="0024134D"/>
    <w:rsid w:val="002C572E"/>
    <w:rsid w:val="003E1CF5"/>
    <w:rsid w:val="0041405A"/>
    <w:rsid w:val="00416AD0"/>
    <w:rsid w:val="0048249A"/>
    <w:rsid w:val="004833D5"/>
    <w:rsid w:val="004D0235"/>
    <w:rsid w:val="004F18CD"/>
    <w:rsid w:val="0060106A"/>
    <w:rsid w:val="006E496C"/>
    <w:rsid w:val="007052EA"/>
    <w:rsid w:val="00713BFD"/>
    <w:rsid w:val="007A107C"/>
    <w:rsid w:val="00837860"/>
    <w:rsid w:val="0085206C"/>
    <w:rsid w:val="00861FE1"/>
    <w:rsid w:val="0089749F"/>
    <w:rsid w:val="008A0378"/>
    <w:rsid w:val="00955140"/>
    <w:rsid w:val="009A5646"/>
    <w:rsid w:val="009C05D1"/>
    <w:rsid w:val="009C6FAC"/>
    <w:rsid w:val="00A52DF7"/>
    <w:rsid w:val="00AF790D"/>
    <w:rsid w:val="00C27B23"/>
    <w:rsid w:val="00C32BE7"/>
    <w:rsid w:val="00D27496"/>
    <w:rsid w:val="00E90CD5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5923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ConsiglioMo@consigliomo.local</cp:lastModifiedBy>
  <cp:revision>3</cp:revision>
  <cp:lastPrinted>2018-02-28T15:30:00Z</cp:lastPrinted>
  <dcterms:created xsi:type="dcterms:W3CDTF">2021-06-25T11:29:00Z</dcterms:created>
  <dcterms:modified xsi:type="dcterms:W3CDTF">2021-06-29T07:03:00Z</dcterms:modified>
</cp:coreProperties>
</file>